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20844E" w14:textId="037A6B01" w:rsidR="00874286" w:rsidRPr="00540D8F" w:rsidRDefault="00540D8F" w:rsidP="00540D8F">
      <w:pPr>
        <w:pStyle w:val="NoSpacing"/>
        <w:jc w:val="center"/>
        <w:rPr>
          <w:b/>
          <w:sz w:val="44"/>
          <w:szCs w:val="44"/>
          <w:u w:val="single"/>
        </w:rPr>
      </w:pPr>
      <w:r w:rsidRPr="00540D8F">
        <w:rPr>
          <w:b/>
          <w:sz w:val="44"/>
          <w:szCs w:val="44"/>
          <w:u w:val="single"/>
        </w:rPr>
        <w:t>Tartakovsky Summary</w:t>
      </w:r>
    </w:p>
    <w:p w14:paraId="0A67A5F6" w14:textId="77777777" w:rsidR="00540D8F" w:rsidRDefault="00540D8F" w:rsidP="00540D8F">
      <w:pPr>
        <w:pStyle w:val="NoSpacing"/>
        <w:rPr>
          <w:sz w:val="24"/>
          <w:szCs w:val="24"/>
        </w:rPr>
      </w:pPr>
    </w:p>
    <w:p w14:paraId="6C929F91" w14:textId="77777777" w:rsidR="00540D8F" w:rsidRPr="00540D8F" w:rsidRDefault="00540D8F" w:rsidP="00540D8F">
      <w:pPr>
        <w:pStyle w:val="NoSpacing"/>
        <w:rPr>
          <w:sz w:val="24"/>
          <w:szCs w:val="24"/>
        </w:rPr>
      </w:pPr>
      <w:r w:rsidRPr="00540D8F">
        <w:rPr>
          <w:sz w:val="24"/>
          <w:szCs w:val="24"/>
        </w:rPr>
        <w:t xml:space="preserve">Tartokovsky developed a more microscopic approach.  He relates the transfer matrix, </w:t>
      </w:r>
      <w:r w:rsidRPr="00540D8F">
        <w:rPr>
          <w:b/>
          <w:sz w:val="24"/>
          <w:szCs w:val="24"/>
        </w:rPr>
        <w:t>M</w:t>
      </w:r>
      <w:r w:rsidRPr="00540D8F">
        <w:rPr>
          <w:sz w:val="24"/>
          <w:szCs w:val="24"/>
        </w:rPr>
        <w:t>, to wavefunction ψ within the medium, and then, via the Schrodinger equation, to the random potential U(</w:t>
      </w:r>
      <w:r w:rsidRPr="00540D8F">
        <w:rPr>
          <w:b/>
          <w:sz w:val="24"/>
          <w:szCs w:val="24"/>
        </w:rPr>
        <w:t>r</w:t>
      </w:r>
      <w:r w:rsidRPr="00540D8F">
        <w:rPr>
          <w:sz w:val="24"/>
          <w:szCs w:val="24"/>
        </w:rPr>
        <w:t>) driving its evolution.  To start, he considers a sample situated between position z</w:t>
      </w:r>
      <w:r w:rsidRPr="00540D8F">
        <w:rPr>
          <w:sz w:val="24"/>
          <w:szCs w:val="24"/>
          <w:vertAlign w:val="subscript"/>
        </w:rPr>
        <w:t>1</w:t>
      </w:r>
      <w:r w:rsidRPr="00540D8F">
        <w:rPr>
          <w:sz w:val="24"/>
          <w:szCs w:val="24"/>
        </w:rPr>
        <w:t xml:space="preserve"> and z</w:t>
      </w:r>
      <w:r w:rsidRPr="00540D8F">
        <w:rPr>
          <w:sz w:val="24"/>
          <w:szCs w:val="24"/>
          <w:vertAlign w:val="subscript"/>
        </w:rPr>
        <w:t>2</w:t>
      </w:r>
      <w:r w:rsidRPr="00540D8F">
        <w:rPr>
          <w:sz w:val="24"/>
          <w:szCs w:val="24"/>
        </w:rPr>
        <w:t xml:space="preserve">, and examines how </w:t>
      </w:r>
      <w:r w:rsidRPr="00540D8F">
        <w:rPr>
          <w:b/>
          <w:sz w:val="24"/>
          <w:szCs w:val="24"/>
        </w:rPr>
        <w:t>M</w:t>
      </w:r>
      <w:r w:rsidRPr="00540D8F">
        <w:rPr>
          <w:sz w:val="24"/>
          <w:szCs w:val="24"/>
        </w:rPr>
        <w:t xml:space="preserve"> will change as we vary either one of the two coordinates.  </w:t>
      </w:r>
    </w:p>
    <w:p w14:paraId="50006946" w14:textId="77777777" w:rsidR="00540D8F" w:rsidRPr="00540D8F" w:rsidRDefault="00540D8F" w:rsidP="00540D8F">
      <w:pPr>
        <w:pStyle w:val="NoSpacing"/>
        <w:rPr>
          <w:sz w:val="24"/>
          <w:szCs w:val="24"/>
        </w:rPr>
      </w:pPr>
    </w:p>
    <w:p w14:paraId="3AD375FA" w14:textId="77777777" w:rsidR="00540D8F" w:rsidRPr="00540D8F" w:rsidRDefault="00540D8F" w:rsidP="00540D8F">
      <w:pPr>
        <w:pStyle w:val="NoSpacing"/>
        <w:rPr>
          <w:sz w:val="24"/>
          <w:szCs w:val="24"/>
        </w:rPr>
      </w:pPr>
      <w:r w:rsidRPr="00540D8F">
        <w:rPr>
          <w:sz w:val="24"/>
          <w:szCs w:val="24"/>
        </w:rPr>
        <w:object w:dxaOrig="3576" w:dyaOrig="2904" w14:anchorId="196A78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66pt" o:ole="">
            <v:imagedata r:id="rId4" o:title="" croptop="27717f" cropbottom="6683f" cropleft="3665f" cropright="6716f"/>
          </v:shape>
          <o:OLEObject Type="Embed" ProgID="PBrush" ShapeID="_x0000_i1025" DrawAspect="Content" ObjectID="_1627816805" r:id="rId5"/>
        </w:object>
      </w:r>
    </w:p>
    <w:p w14:paraId="5D61BF9A" w14:textId="77777777" w:rsidR="00540D8F" w:rsidRPr="00540D8F" w:rsidRDefault="00540D8F" w:rsidP="00540D8F">
      <w:pPr>
        <w:pStyle w:val="NoSpacing"/>
        <w:rPr>
          <w:sz w:val="24"/>
          <w:szCs w:val="24"/>
        </w:rPr>
      </w:pPr>
    </w:p>
    <w:p w14:paraId="0A00513D" w14:textId="77777777" w:rsidR="00540D8F" w:rsidRPr="00540D8F" w:rsidRDefault="00540D8F" w:rsidP="00540D8F">
      <w:pPr>
        <w:pStyle w:val="NoSpacing"/>
        <w:rPr>
          <w:sz w:val="24"/>
          <w:szCs w:val="24"/>
        </w:rPr>
      </w:pPr>
      <w:r w:rsidRPr="00540D8F">
        <w:rPr>
          <w:sz w:val="24"/>
          <w:szCs w:val="24"/>
        </w:rPr>
        <w:t xml:space="preserve">Note he defines </w:t>
      </w:r>
      <w:r w:rsidRPr="00540D8F">
        <w:rPr>
          <w:b/>
          <w:sz w:val="24"/>
          <w:szCs w:val="24"/>
        </w:rPr>
        <w:t>M</w:t>
      </w:r>
      <w:r w:rsidRPr="00540D8F">
        <w:rPr>
          <w:sz w:val="24"/>
          <w:szCs w:val="24"/>
        </w:rPr>
        <w:t xml:space="preserve"> somewhat differently than convention.  His </w:t>
      </w:r>
      <w:r w:rsidRPr="00540D8F">
        <w:rPr>
          <w:b/>
          <w:sz w:val="24"/>
          <w:szCs w:val="24"/>
        </w:rPr>
        <w:t>M</w:t>
      </w:r>
      <w:r w:rsidRPr="00540D8F">
        <w:rPr>
          <w:sz w:val="24"/>
          <w:szCs w:val="24"/>
        </w:rPr>
        <w:t xml:space="preserve"> (LHS of equation) relates to the conventional </w:t>
      </w:r>
      <w:r w:rsidRPr="00540D8F">
        <w:rPr>
          <w:b/>
          <w:sz w:val="24"/>
          <w:szCs w:val="24"/>
        </w:rPr>
        <w:t>M</w:t>
      </w:r>
      <w:r w:rsidRPr="00540D8F">
        <w:rPr>
          <w:sz w:val="24"/>
          <w:szCs w:val="24"/>
        </w:rPr>
        <w:t xml:space="preserve"> (RHS of equation) via: </w:t>
      </w:r>
    </w:p>
    <w:p w14:paraId="49393FEA" w14:textId="77777777" w:rsidR="00540D8F" w:rsidRPr="00540D8F" w:rsidRDefault="00540D8F" w:rsidP="00540D8F">
      <w:pPr>
        <w:pStyle w:val="NoSpacing"/>
        <w:rPr>
          <w:sz w:val="24"/>
          <w:szCs w:val="24"/>
        </w:rPr>
      </w:pPr>
    </w:p>
    <w:p w14:paraId="3455DB09" w14:textId="77777777" w:rsidR="00540D8F" w:rsidRPr="00540D8F" w:rsidRDefault="00540D8F" w:rsidP="00540D8F">
      <w:pPr>
        <w:pStyle w:val="NoSpacing"/>
        <w:rPr>
          <w:sz w:val="24"/>
          <w:szCs w:val="24"/>
        </w:rPr>
      </w:pPr>
      <w:r w:rsidRPr="00540D8F">
        <w:rPr>
          <w:sz w:val="24"/>
          <w:szCs w:val="24"/>
        </w:rPr>
        <w:object w:dxaOrig="2240" w:dyaOrig="420" w14:anchorId="24AAD268">
          <v:shape id="_x0000_i1026" type="#_x0000_t75" style="width:114pt;height:24pt" o:ole="">
            <v:imagedata r:id="rId6" o:title=""/>
          </v:shape>
          <o:OLEObject Type="Embed" ProgID="Equation.DSMT4" ShapeID="_x0000_i1026" DrawAspect="Content" ObjectID="_1627816806" r:id="rId7"/>
        </w:object>
      </w:r>
    </w:p>
    <w:p w14:paraId="5CC0B8BE" w14:textId="77777777" w:rsidR="00540D8F" w:rsidRPr="00540D8F" w:rsidRDefault="00540D8F" w:rsidP="00540D8F">
      <w:pPr>
        <w:pStyle w:val="NoSpacing"/>
        <w:rPr>
          <w:sz w:val="24"/>
          <w:szCs w:val="24"/>
        </w:rPr>
      </w:pPr>
    </w:p>
    <w:p w14:paraId="687C2E02" w14:textId="77777777" w:rsidR="00540D8F" w:rsidRPr="00540D8F" w:rsidRDefault="00540D8F" w:rsidP="00540D8F">
      <w:pPr>
        <w:pStyle w:val="NoSpacing"/>
        <w:rPr>
          <w:sz w:val="24"/>
          <w:szCs w:val="24"/>
        </w:rPr>
      </w:pPr>
      <w:r w:rsidRPr="00540D8F">
        <w:rPr>
          <w:sz w:val="24"/>
          <w:szCs w:val="24"/>
        </w:rPr>
        <w:t>For the latter case we consider the development of a wavefunction, ψ</w:t>
      </w:r>
      <w:r w:rsidRPr="00540D8F">
        <w:rPr>
          <w:sz w:val="24"/>
          <w:szCs w:val="24"/>
          <w:vertAlign w:val="superscript"/>
        </w:rPr>
        <w:t>(n)</w:t>
      </w:r>
      <w:r w:rsidRPr="00540D8F">
        <w:rPr>
          <w:sz w:val="24"/>
          <w:szCs w:val="24"/>
        </w:rPr>
        <w:t>(</w:t>
      </w:r>
      <w:r w:rsidRPr="00540D8F">
        <w:rPr>
          <w:b/>
          <w:sz w:val="24"/>
          <w:szCs w:val="24"/>
        </w:rPr>
        <w:t>r</w:t>
      </w:r>
      <w:r w:rsidRPr="00540D8F">
        <w:rPr>
          <w:sz w:val="24"/>
          <w:szCs w:val="24"/>
        </w:rPr>
        <w:t>) consisting of unit current passing leftward through the n</w:t>
      </w:r>
      <w:r w:rsidRPr="00540D8F">
        <w:rPr>
          <w:sz w:val="24"/>
          <w:szCs w:val="24"/>
          <w:vertAlign w:val="superscript"/>
        </w:rPr>
        <w:t>th</w:t>
      </w:r>
      <w:r w:rsidRPr="00540D8F">
        <w:rPr>
          <w:sz w:val="24"/>
          <w:szCs w:val="24"/>
        </w:rPr>
        <w:t xml:space="preserve"> channel.  Solving the Schrodinger equation, and projecting onto the (free) transverse eigenbasis, we have:</w:t>
      </w:r>
    </w:p>
    <w:p w14:paraId="7EFDEC86" w14:textId="77777777" w:rsidR="00540D8F" w:rsidRPr="00540D8F" w:rsidRDefault="00540D8F" w:rsidP="00540D8F">
      <w:pPr>
        <w:pStyle w:val="NoSpacing"/>
        <w:rPr>
          <w:sz w:val="24"/>
          <w:szCs w:val="24"/>
        </w:rPr>
      </w:pPr>
    </w:p>
    <w:p w14:paraId="6E67BCCC" w14:textId="77777777" w:rsidR="00540D8F" w:rsidRPr="00540D8F" w:rsidRDefault="00540D8F" w:rsidP="00540D8F">
      <w:pPr>
        <w:pStyle w:val="NoSpacing"/>
        <w:rPr>
          <w:sz w:val="24"/>
          <w:szCs w:val="24"/>
        </w:rPr>
      </w:pPr>
      <w:r w:rsidRPr="00540D8F">
        <w:rPr>
          <w:sz w:val="24"/>
          <w:szCs w:val="24"/>
        </w:rPr>
        <w:object w:dxaOrig="7860" w:dyaOrig="2320" w14:anchorId="4856B4C0">
          <v:shape id="_x0000_i1027" type="#_x0000_t75" style="width:396pt;height:120pt" o:ole="">
            <v:imagedata r:id="rId8" o:title=""/>
          </v:shape>
          <o:OLEObject Type="Embed" ProgID="Equation.DSMT4" ShapeID="_x0000_i1027" DrawAspect="Content" ObjectID="_1627816807" r:id="rId9"/>
        </w:object>
      </w:r>
    </w:p>
    <w:p w14:paraId="1CC2E283" w14:textId="77777777" w:rsidR="00540D8F" w:rsidRPr="00540D8F" w:rsidRDefault="00540D8F" w:rsidP="00540D8F">
      <w:pPr>
        <w:pStyle w:val="NoSpacing"/>
        <w:rPr>
          <w:sz w:val="24"/>
          <w:szCs w:val="24"/>
        </w:rPr>
      </w:pPr>
    </w:p>
    <w:p w14:paraId="7B786D90" w14:textId="77777777" w:rsidR="00540D8F" w:rsidRPr="00540D8F" w:rsidRDefault="00540D8F" w:rsidP="00540D8F">
      <w:pPr>
        <w:pStyle w:val="NoSpacing"/>
        <w:rPr>
          <w:sz w:val="24"/>
          <w:szCs w:val="24"/>
        </w:rPr>
      </w:pPr>
      <w:r w:rsidRPr="00540D8F">
        <w:rPr>
          <w:sz w:val="24"/>
          <w:szCs w:val="24"/>
        </w:rPr>
        <w:t>The second order equation can be reduced to two first order equations, which will decouple the boundary conditions, by design, utilizing the following definitions:</w:t>
      </w:r>
    </w:p>
    <w:p w14:paraId="5610336F" w14:textId="77777777" w:rsidR="00540D8F" w:rsidRPr="00540D8F" w:rsidRDefault="00540D8F" w:rsidP="00540D8F">
      <w:pPr>
        <w:pStyle w:val="NoSpacing"/>
        <w:rPr>
          <w:sz w:val="24"/>
          <w:szCs w:val="24"/>
        </w:rPr>
      </w:pPr>
    </w:p>
    <w:p w14:paraId="4692088F" w14:textId="77777777" w:rsidR="00540D8F" w:rsidRPr="00540D8F" w:rsidRDefault="00540D8F" w:rsidP="00540D8F">
      <w:pPr>
        <w:pStyle w:val="NoSpacing"/>
        <w:rPr>
          <w:sz w:val="24"/>
          <w:szCs w:val="24"/>
        </w:rPr>
      </w:pPr>
      <w:r w:rsidRPr="00540D8F">
        <w:rPr>
          <w:sz w:val="24"/>
          <w:szCs w:val="24"/>
        </w:rPr>
        <w:object w:dxaOrig="3960" w:dyaOrig="760" w14:anchorId="416102D7">
          <v:shape id="_x0000_i1028" type="#_x0000_t75" style="width:198pt;height:36pt" o:ole="">
            <v:imagedata r:id="rId10" o:title=""/>
          </v:shape>
          <o:OLEObject Type="Embed" ProgID="Equation.DSMT4" ShapeID="_x0000_i1028" DrawAspect="Content" ObjectID="_1627816808" r:id="rId11"/>
        </w:object>
      </w:r>
    </w:p>
    <w:p w14:paraId="6B5F2A9E" w14:textId="77777777" w:rsidR="00540D8F" w:rsidRPr="00540D8F" w:rsidRDefault="00540D8F" w:rsidP="00540D8F">
      <w:pPr>
        <w:pStyle w:val="NoSpacing"/>
        <w:rPr>
          <w:sz w:val="24"/>
          <w:szCs w:val="24"/>
        </w:rPr>
      </w:pPr>
    </w:p>
    <w:p w14:paraId="3CF2D2FB" w14:textId="77777777" w:rsidR="00540D8F" w:rsidRPr="00540D8F" w:rsidRDefault="00540D8F" w:rsidP="00540D8F">
      <w:pPr>
        <w:pStyle w:val="NoSpacing"/>
        <w:rPr>
          <w:sz w:val="24"/>
          <w:szCs w:val="24"/>
        </w:rPr>
      </w:pPr>
      <w:r w:rsidRPr="00540D8F">
        <w:rPr>
          <w:sz w:val="24"/>
          <w:szCs w:val="24"/>
        </w:rPr>
        <w:t>Upon which, we obtain the following equations, written in matrix notation (k = diagonal matrix k</w:t>
      </w:r>
      <w:r w:rsidRPr="00540D8F">
        <w:rPr>
          <w:sz w:val="24"/>
          <w:szCs w:val="24"/>
          <w:vertAlign w:val="subscript"/>
        </w:rPr>
        <w:t>m</w:t>
      </w:r>
      <w:r w:rsidRPr="00540D8F">
        <w:rPr>
          <w:sz w:val="24"/>
          <w:szCs w:val="24"/>
        </w:rPr>
        <w:t>):</w:t>
      </w:r>
    </w:p>
    <w:p w14:paraId="4A94AA18" w14:textId="77777777" w:rsidR="00540D8F" w:rsidRPr="00540D8F" w:rsidRDefault="00540D8F" w:rsidP="00540D8F">
      <w:pPr>
        <w:pStyle w:val="NoSpacing"/>
        <w:rPr>
          <w:sz w:val="24"/>
          <w:szCs w:val="24"/>
        </w:rPr>
      </w:pPr>
    </w:p>
    <w:p w14:paraId="444E3C6D" w14:textId="77777777" w:rsidR="00540D8F" w:rsidRPr="00540D8F" w:rsidRDefault="00540D8F" w:rsidP="00540D8F">
      <w:pPr>
        <w:pStyle w:val="NoSpacing"/>
        <w:rPr>
          <w:sz w:val="24"/>
          <w:szCs w:val="24"/>
        </w:rPr>
      </w:pPr>
      <w:r w:rsidRPr="00540D8F">
        <w:rPr>
          <w:sz w:val="24"/>
          <w:szCs w:val="24"/>
        </w:rPr>
        <w:object w:dxaOrig="7780" w:dyaOrig="1480" w14:anchorId="41B6CAD2">
          <v:shape id="_x0000_i1029" type="#_x0000_t75" style="width:390pt;height:1in" o:ole="">
            <v:imagedata r:id="rId12" o:title=""/>
          </v:shape>
          <o:OLEObject Type="Embed" ProgID="Equation.DSMT4" ShapeID="_x0000_i1029" DrawAspect="Content" ObjectID="_1627816809" r:id="rId13"/>
        </w:object>
      </w:r>
      <w:r w:rsidRPr="00540D8F">
        <w:rPr>
          <w:sz w:val="24"/>
          <w:szCs w:val="24"/>
        </w:rPr>
        <w:t xml:space="preserve"> </w:t>
      </w:r>
    </w:p>
    <w:p w14:paraId="0870F60C" w14:textId="77777777" w:rsidR="00540D8F" w:rsidRPr="00540D8F" w:rsidRDefault="00540D8F" w:rsidP="00540D8F">
      <w:pPr>
        <w:pStyle w:val="NoSpacing"/>
        <w:rPr>
          <w:sz w:val="24"/>
          <w:szCs w:val="24"/>
        </w:rPr>
      </w:pPr>
    </w:p>
    <w:p w14:paraId="709BD2AB" w14:textId="77777777" w:rsidR="00540D8F" w:rsidRPr="00540D8F" w:rsidRDefault="00540D8F" w:rsidP="00540D8F">
      <w:pPr>
        <w:pStyle w:val="NoSpacing"/>
        <w:rPr>
          <w:sz w:val="24"/>
          <w:szCs w:val="24"/>
        </w:rPr>
      </w:pPr>
      <w:r w:rsidRPr="00540D8F">
        <w:rPr>
          <w:sz w:val="24"/>
          <w:szCs w:val="24"/>
        </w:rPr>
        <w:t>These equations now have the obvious interpretation of embodying the development of the two independent blocks M</w:t>
      </w:r>
      <w:r w:rsidRPr="00540D8F">
        <w:rPr>
          <w:sz w:val="24"/>
          <w:szCs w:val="24"/>
          <w:vertAlign w:val="subscript"/>
        </w:rPr>
        <w:t>22</w:t>
      </w:r>
      <w:r w:rsidRPr="00540D8F">
        <w:rPr>
          <w:sz w:val="24"/>
          <w:szCs w:val="24"/>
        </w:rPr>
        <w:t>, and M</w:t>
      </w:r>
      <w:r w:rsidRPr="00540D8F">
        <w:rPr>
          <w:sz w:val="24"/>
          <w:szCs w:val="24"/>
          <w:vertAlign w:val="subscript"/>
        </w:rPr>
        <w:t>12</w:t>
      </w:r>
      <w:r w:rsidRPr="00540D8F">
        <w:rPr>
          <w:sz w:val="24"/>
          <w:szCs w:val="24"/>
        </w:rPr>
        <w:t xml:space="preserve"> of the transfer matrix.  From these, an evolution equation for the transfer matrix itself can be written down:</w:t>
      </w:r>
    </w:p>
    <w:p w14:paraId="24EDDFB0" w14:textId="77777777" w:rsidR="00540D8F" w:rsidRPr="00540D8F" w:rsidRDefault="00540D8F" w:rsidP="00540D8F">
      <w:pPr>
        <w:pStyle w:val="NoSpacing"/>
        <w:rPr>
          <w:sz w:val="24"/>
          <w:szCs w:val="24"/>
        </w:rPr>
      </w:pPr>
    </w:p>
    <w:bookmarkStart w:id="0" w:name="_Hlk528323103"/>
    <w:p w14:paraId="54AB1643" w14:textId="77777777" w:rsidR="00540D8F" w:rsidRPr="00540D8F" w:rsidRDefault="00540D8F" w:rsidP="00540D8F">
      <w:pPr>
        <w:pStyle w:val="NoSpacing"/>
        <w:rPr>
          <w:sz w:val="24"/>
          <w:szCs w:val="24"/>
        </w:rPr>
      </w:pPr>
      <w:r w:rsidRPr="00540D8F">
        <w:rPr>
          <w:sz w:val="24"/>
          <w:szCs w:val="24"/>
        </w:rPr>
        <w:object w:dxaOrig="6759" w:dyaOrig="840" w14:anchorId="1C8FB687">
          <v:shape id="_x0000_i1030" type="#_x0000_t75" style="width:336pt;height:42pt" o:ole="">
            <v:imagedata r:id="rId14" o:title=""/>
          </v:shape>
          <o:OLEObject Type="Embed" ProgID="Equation.DSMT4" ShapeID="_x0000_i1030" DrawAspect="Content" ObjectID="_1627816810" r:id="rId15"/>
        </w:object>
      </w:r>
      <w:bookmarkEnd w:id="0"/>
      <w:r w:rsidRPr="00540D8F">
        <w:rPr>
          <w:sz w:val="24"/>
          <w:szCs w:val="24"/>
        </w:rPr>
        <w:t xml:space="preserve"> </w:t>
      </w:r>
    </w:p>
    <w:p w14:paraId="4281F270" w14:textId="77777777" w:rsidR="00540D8F" w:rsidRPr="00540D8F" w:rsidRDefault="00540D8F" w:rsidP="00540D8F">
      <w:pPr>
        <w:pStyle w:val="NoSpacing"/>
        <w:rPr>
          <w:sz w:val="24"/>
          <w:szCs w:val="24"/>
        </w:rPr>
      </w:pPr>
    </w:p>
    <w:p w14:paraId="0E3E9453" w14:textId="77777777" w:rsidR="00540D8F" w:rsidRPr="00540D8F" w:rsidRDefault="00540D8F" w:rsidP="00540D8F">
      <w:pPr>
        <w:pStyle w:val="NoSpacing"/>
        <w:rPr>
          <w:sz w:val="24"/>
          <w:szCs w:val="24"/>
        </w:rPr>
      </w:pPr>
      <w:r w:rsidRPr="00540D8F">
        <w:rPr>
          <w:sz w:val="24"/>
          <w:szCs w:val="24"/>
        </w:rPr>
        <w:t>As alluded to earlier, this process can be repeated, but this time considering z</w:t>
      </w:r>
      <w:r w:rsidRPr="00540D8F">
        <w:rPr>
          <w:sz w:val="24"/>
          <w:szCs w:val="24"/>
          <w:vertAlign w:val="subscript"/>
        </w:rPr>
        <w:t>1</w:t>
      </w:r>
      <w:r w:rsidRPr="00540D8F">
        <w:rPr>
          <w:sz w:val="24"/>
          <w:szCs w:val="24"/>
        </w:rPr>
        <w:t xml:space="preserve"> to be moving, and z</w:t>
      </w:r>
      <w:r w:rsidRPr="00540D8F">
        <w:rPr>
          <w:sz w:val="24"/>
          <w:szCs w:val="24"/>
          <w:vertAlign w:val="subscript"/>
        </w:rPr>
        <w:t>2</w:t>
      </w:r>
      <w:r w:rsidRPr="00540D8F">
        <w:rPr>
          <w:sz w:val="24"/>
          <w:szCs w:val="24"/>
        </w:rPr>
        <w:t xml:space="preserve"> fixed.  We start by writing down the solution to the Schrodinger equation for the following setup, the case of perfect transmission into the n</w:t>
      </w:r>
      <w:r w:rsidRPr="00540D8F">
        <w:rPr>
          <w:sz w:val="24"/>
          <w:szCs w:val="24"/>
          <w:vertAlign w:val="superscript"/>
        </w:rPr>
        <w:t>th</w:t>
      </w:r>
      <w:r w:rsidRPr="00540D8F">
        <w:rPr>
          <w:sz w:val="24"/>
          <w:szCs w:val="24"/>
        </w:rPr>
        <w:t xml:space="preserve"> channel on thee right.  </w:t>
      </w:r>
    </w:p>
    <w:p w14:paraId="11CCDB45" w14:textId="77777777" w:rsidR="00540D8F" w:rsidRPr="00540D8F" w:rsidRDefault="00540D8F" w:rsidP="00540D8F">
      <w:pPr>
        <w:pStyle w:val="NoSpacing"/>
        <w:rPr>
          <w:sz w:val="24"/>
          <w:szCs w:val="24"/>
        </w:rPr>
      </w:pPr>
    </w:p>
    <w:p w14:paraId="7B04927F" w14:textId="77777777" w:rsidR="00540D8F" w:rsidRPr="00540D8F" w:rsidRDefault="00540D8F" w:rsidP="00540D8F">
      <w:pPr>
        <w:pStyle w:val="NoSpacing"/>
        <w:rPr>
          <w:sz w:val="24"/>
          <w:szCs w:val="24"/>
        </w:rPr>
      </w:pPr>
      <w:r w:rsidRPr="00540D8F">
        <w:rPr>
          <w:sz w:val="24"/>
          <w:szCs w:val="24"/>
        </w:rPr>
        <w:object w:dxaOrig="4824" w:dyaOrig="3816" w14:anchorId="505A2385">
          <v:shape id="_x0000_i1031" type="#_x0000_t75" style="width:162pt;height:78pt" o:ole="">
            <v:imagedata r:id="rId16" o:title="" croptop="13003f" cropbottom="25580f" cropleft="6182f" cropright="14780f"/>
          </v:shape>
          <o:OLEObject Type="Embed" ProgID="PBrush" ShapeID="_x0000_i1031" DrawAspect="Content" ObjectID="_1627816811" r:id="rId17"/>
        </w:object>
      </w:r>
    </w:p>
    <w:p w14:paraId="79750752" w14:textId="77777777" w:rsidR="00540D8F" w:rsidRPr="00540D8F" w:rsidRDefault="00540D8F" w:rsidP="00540D8F">
      <w:pPr>
        <w:pStyle w:val="NoSpacing"/>
        <w:rPr>
          <w:sz w:val="24"/>
          <w:szCs w:val="24"/>
        </w:rPr>
      </w:pPr>
    </w:p>
    <w:p w14:paraId="19A6D84A" w14:textId="77777777" w:rsidR="00540D8F" w:rsidRPr="00540D8F" w:rsidRDefault="00540D8F" w:rsidP="00540D8F">
      <w:pPr>
        <w:pStyle w:val="NoSpacing"/>
        <w:rPr>
          <w:sz w:val="24"/>
          <w:szCs w:val="24"/>
        </w:rPr>
      </w:pPr>
      <w:r w:rsidRPr="00540D8F">
        <w:rPr>
          <w:sz w:val="24"/>
          <w:szCs w:val="24"/>
        </w:rPr>
        <w:t>The result is:</w:t>
      </w:r>
    </w:p>
    <w:p w14:paraId="30C46055" w14:textId="77777777" w:rsidR="00540D8F" w:rsidRPr="00540D8F" w:rsidRDefault="00540D8F" w:rsidP="00540D8F">
      <w:pPr>
        <w:pStyle w:val="NoSpacing"/>
        <w:rPr>
          <w:sz w:val="24"/>
          <w:szCs w:val="24"/>
        </w:rPr>
      </w:pPr>
    </w:p>
    <w:p w14:paraId="78B0615C" w14:textId="77777777" w:rsidR="00540D8F" w:rsidRPr="00540D8F" w:rsidRDefault="00540D8F" w:rsidP="00540D8F">
      <w:pPr>
        <w:pStyle w:val="NoSpacing"/>
        <w:rPr>
          <w:sz w:val="24"/>
          <w:szCs w:val="24"/>
        </w:rPr>
      </w:pPr>
      <w:r w:rsidRPr="00540D8F">
        <w:rPr>
          <w:sz w:val="24"/>
          <w:szCs w:val="24"/>
        </w:rPr>
        <w:object w:dxaOrig="7500" w:dyaOrig="840" w14:anchorId="2D119449">
          <v:shape id="_x0000_i1032" type="#_x0000_t75" style="width:378pt;height:42pt" o:ole="">
            <v:imagedata r:id="rId18" o:title=""/>
          </v:shape>
          <o:OLEObject Type="Embed" ProgID="Equation.DSMT4" ShapeID="_x0000_i1032" DrawAspect="Content" ObjectID="_1627816812" r:id="rId19"/>
        </w:object>
      </w:r>
      <w:r w:rsidRPr="00540D8F">
        <w:rPr>
          <w:sz w:val="24"/>
          <w:szCs w:val="24"/>
        </w:rPr>
        <w:t xml:space="preserve"> </w:t>
      </w:r>
    </w:p>
    <w:p w14:paraId="21940760" w14:textId="77777777" w:rsidR="00540D8F" w:rsidRPr="00540D8F" w:rsidRDefault="00540D8F" w:rsidP="00540D8F">
      <w:pPr>
        <w:pStyle w:val="NoSpacing"/>
        <w:rPr>
          <w:sz w:val="24"/>
          <w:szCs w:val="24"/>
        </w:rPr>
      </w:pPr>
    </w:p>
    <w:p w14:paraId="46EBB894" w14:textId="77777777" w:rsidR="00540D8F" w:rsidRPr="00540D8F" w:rsidRDefault="00540D8F" w:rsidP="00540D8F">
      <w:pPr>
        <w:pStyle w:val="NoSpacing"/>
        <w:rPr>
          <w:sz w:val="24"/>
          <w:szCs w:val="24"/>
        </w:rPr>
      </w:pPr>
      <w:r w:rsidRPr="00540D8F">
        <w:rPr>
          <w:sz w:val="24"/>
          <w:szCs w:val="24"/>
        </w:rPr>
        <w:t xml:space="preserve">With the stochastic differential equations written down, the next step is to specify the statistics of the potential.  This is taken to be white noise:  </w:t>
      </w:r>
    </w:p>
    <w:p w14:paraId="5C14E346" w14:textId="77777777" w:rsidR="00540D8F" w:rsidRPr="00540D8F" w:rsidRDefault="00540D8F" w:rsidP="00540D8F">
      <w:pPr>
        <w:pStyle w:val="NoSpacing"/>
        <w:rPr>
          <w:sz w:val="24"/>
          <w:szCs w:val="24"/>
        </w:rPr>
      </w:pPr>
    </w:p>
    <w:p w14:paraId="285FE8A5" w14:textId="77777777" w:rsidR="00540D8F" w:rsidRPr="00540D8F" w:rsidRDefault="00540D8F" w:rsidP="00540D8F">
      <w:pPr>
        <w:pStyle w:val="NoSpacing"/>
        <w:rPr>
          <w:sz w:val="24"/>
          <w:szCs w:val="24"/>
        </w:rPr>
      </w:pPr>
      <w:r w:rsidRPr="00540D8F">
        <w:rPr>
          <w:sz w:val="24"/>
          <w:szCs w:val="24"/>
        </w:rPr>
        <w:object w:dxaOrig="3140" w:dyaOrig="840" w14:anchorId="16728EBC">
          <v:shape id="_x0000_i1033" type="#_x0000_t75" style="width:156pt;height:42pt" o:ole="">
            <v:imagedata r:id="rId20" o:title=""/>
          </v:shape>
          <o:OLEObject Type="Embed" ProgID="Equation.DSMT4" ShapeID="_x0000_i1033" DrawAspect="Content" ObjectID="_1627816813" r:id="rId21"/>
        </w:object>
      </w:r>
    </w:p>
    <w:p w14:paraId="026CD138" w14:textId="77777777" w:rsidR="00540D8F" w:rsidRPr="00540D8F" w:rsidRDefault="00540D8F" w:rsidP="00540D8F">
      <w:pPr>
        <w:pStyle w:val="NoSpacing"/>
        <w:rPr>
          <w:sz w:val="24"/>
          <w:szCs w:val="24"/>
        </w:rPr>
      </w:pPr>
    </w:p>
    <w:p w14:paraId="23A30B91" w14:textId="77777777" w:rsidR="00540D8F" w:rsidRPr="00540D8F" w:rsidRDefault="00540D8F" w:rsidP="00540D8F">
      <w:pPr>
        <w:pStyle w:val="NoSpacing"/>
        <w:rPr>
          <w:sz w:val="24"/>
          <w:szCs w:val="24"/>
        </w:rPr>
      </w:pPr>
      <w:r w:rsidRPr="00540D8F">
        <w:rPr>
          <w:sz w:val="24"/>
          <w:szCs w:val="24"/>
        </w:rPr>
        <w:t>where:</w:t>
      </w:r>
    </w:p>
    <w:p w14:paraId="40FF7253" w14:textId="77777777" w:rsidR="00540D8F" w:rsidRPr="00540D8F" w:rsidRDefault="00540D8F" w:rsidP="00540D8F">
      <w:pPr>
        <w:pStyle w:val="NoSpacing"/>
        <w:rPr>
          <w:sz w:val="24"/>
          <w:szCs w:val="24"/>
        </w:rPr>
      </w:pPr>
    </w:p>
    <w:p w14:paraId="22D1B0EC" w14:textId="77777777" w:rsidR="00540D8F" w:rsidRPr="00540D8F" w:rsidRDefault="00540D8F" w:rsidP="00540D8F">
      <w:pPr>
        <w:pStyle w:val="NoSpacing"/>
        <w:rPr>
          <w:sz w:val="24"/>
          <w:szCs w:val="24"/>
        </w:rPr>
      </w:pPr>
      <w:r w:rsidRPr="00540D8F">
        <w:rPr>
          <w:sz w:val="24"/>
          <w:szCs w:val="24"/>
        </w:rPr>
        <w:object w:dxaOrig="6200" w:dyaOrig="660" w14:anchorId="43DA9072">
          <v:shape id="_x0000_i1034" type="#_x0000_t75" style="width:312pt;height:36pt" o:ole="">
            <v:imagedata r:id="rId22" o:title=""/>
          </v:shape>
          <o:OLEObject Type="Embed" ProgID="Equation.DSMT4" ShapeID="_x0000_i1034" DrawAspect="Content" ObjectID="_1627816814" r:id="rId23"/>
        </w:object>
      </w:r>
    </w:p>
    <w:p w14:paraId="617D0E3F" w14:textId="77777777" w:rsidR="00540D8F" w:rsidRPr="00540D8F" w:rsidRDefault="00540D8F" w:rsidP="00540D8F">
      <w:pPr>
        <w:pStyle w:val="NoSpacing"/>
        <w:rPr>
          <w:sz w:val="24"/>
          <w:szCs w:val="24"/>
        </w:rPr>
      </w:pPr>
    </w:p>
    <w:p w14:paraId="15986FCA" w14:textId="77777777" w:rsidR="00540D8F" w:rsidRPr="00540D8F" w:rsidRDefault="00540D8F" w:rsidP="00540D8F">
      <w:pPr>
        <w:pStyle w:val="NoSpacing"/>
        <w:rPr>
          <w:sz w:val="24"/>
          <w:szCs w:val="24"/>
        </w:rPr>
      </w:pPr>
      <w:r w:rsidRPr="00540D8F">
        <w:rPr>
          <w:sz w:val="24"/>
          <w:szCs w:val="24"/>
        </w:rPr>
        <w:lastRenderedPageBreak/>
        <w:t xml:space="preserve">Note that, sans the author’s choice of phase factors embedded within </w:t>
      </w:r>
      <w:r w:rsidRPr="00540D8F">
        <w:rPr>
          <w:b/>
          <w:sz w:val="24"/>
          <w:szCs w:val="24"/>
        </w:rPr>
        <w:t>M</w:t>
      </w:r>
      <w:r w:rsidRPr="00540D8F">
        <w:rPr>
          <w:sz w:val="24"/>
          <w:szCs w:val="24"/>
        </w:rPr>
        <w:t xml:space="preserve">, which are responsible for the O(dz) term, this SDE is the same as the white noise model in the Appendix.  We’ll also observe that, like Mello’s model, we find the fluctuational variance of </w:t>
      </w:r>
      <w:r w:rsidRPr="00540D8F">
        <w:rPr>
          <w:b/>
          <w:sz w:val="24"/>
          <w:szCs w:val="24"/>
        </w:rPr>
        <w:t>M</w:t>
      </w:r>
      <w:r w:rsidRPr="00540D8F">
        <w:rPr>
          <w:sz w:val="24"/>
          <w:szCs w:val="24"/>
        </w:rPr>
        <w:t xml:space="preserve"> is proportional to </w:t>
      </w:r>
      <w:r w:rsidRPr="00540D8F">
        <w:rPr>
          <w:b/>
          <w:sz w:val="24"/>
          <w:szCs w:val="24"/>
        </w:rPr>
        <w:t>M</w:t>
      </w:r>
      <w:r w:rsidRPr="00540D8F">
        <w:rPr>
          <w:b/>
          <w:sz w:val="24"/>
          <w:szCs w:val="24"/>
          <w:vertAlign w:val="superscript"/>
        </w:rPr>
        <w:t>2</w:t>
      </w:r>
      <w:r w:rsidRPr="00540D8F">
        <w:rPr>
          <w:sz w:val="24"/>
          <w:szCs w:val="24"/>
        </w:rPr>
        <w:t xml:space="preserve">.  This makes sense in that we expect the fluctuations of </w:t>
      </w:r>
      <w:r w:rsidRPr="00540D8F">
        <w:rPr>
          <w:b/>
          <w:sz w:val="24"/>
          <w:szCs w:val="24"/>
        </w:rPr>
        <w:t>M</w:t>
      </w:r>
      <w:r w:rsidRPr="00540D8F">
        <w:rPr>
          <w:sz w:val="24"/>
          <w:szCs w:val="24"/>
        </w:rPr>
        <w:t xml:space="preserve"> to grow as λ, and hence </w:t>
      </w:r>
      <w:r w:rsidRPr="00540D8F">
        <w:rPr>
          <w:b/>
          <w:sz w:val="24"/>
          <w:szCs w:val="24"/>
        </w:rPr>
        <w:t>M</w:t>
      </w:r>
      <w:r w:rsidRPr="00540D8F">
        <w:rPr>
          <w:sz w:val="24"/>
          <w:szCs w:val="24"/>
        </w:rPr>
        <w:t xml:space="preserve">, gets ‘larger’.  All in all, we see the transfer matrix can be written as an Ornstein-Uhlenbeck process.  Moreover, it is appropriate to interpret this as a </w:t>
      </w:r>
      <w:commentRangeStart w:id="1"/>
      <w:r w:rsidRPr="00540D8F">
        <w:rPr>
          <w:sz w:val="24"/>
          <w:szCs w:val="24"/>
        </w:rPr>
        <w:t xml:space="preserve">Stranovich </w:t>
      </w:r>
      <w:commentRangeEnd w:id="1"/>
      <w:r w:rsidRPr="00540D8F">
        <w:rPr>
          <w:sz w:val="24"/>
          <w:szCs w:val="24"/>
        </w:rPr>
        <w:commentReference w:id="1"/>
      </w:r>
      <w:r w:rsidRPr="00540D8F">
        <w:rPr>
          <w:sz w:val="24"/>
          <w:szCs w:val="24"/>
        </w:rPr>
        <w:t xml:space="preserve">process since the random quantities have been so far been presupposed to follow the normal rules of Calculus.  At this point, following Appendix B, one could write down the Fokker-Plank equation for the evolution of </w:t>
      </w:r>
      <w:r w:rsidRPr="00540D8F">
        <w:rPr>
          <w:b/>
          <w:sz w:val="24"/>
          <w:szCs w:val="24"/>
        </w:rPr>
        <w:t>M</w:t>
      </w:r>
      <w:r w:rsidRPr="00540D8F">
        <w:rPr>
          <w:sz w:val="24"/>
          <w:szCs w:val="24"/>
        </w:rPr>
        <w:t>’s probability distribution function.  But again, this is of questionable utility.  Rather, like Mello, he uses it to examine the evolution of the transmission/reflection matrices.  These can be obtained by relating them to the blocks M</w:t>
      </w:r>
      <w:r w:rsidRPr="00540D8F">
        <w:rPr>
          <w:sz w:val="24"/>
          <w:szCs w:val="24"/>
          <w:vertAlign w:val="subscript"/>
        </w:rPr>
        <w:t>11</w:t>
      </w:r>
      <w:r w:rsidRPr="00540D8F">
        <w:rPr>
          <w:sz w:val="24"/>
          <w:szCs w:val="24"/>
        </w:rPr>
        <w:t>, M</w:t>
      </w:r>
      <w:r w:rsidRPr="00540D8F">
        <w:rPr>
          <w:sz w:val="24"/>
          <w:szCs w:val="24"/>
          <w:vertAlign w:val="subscript"/>
        </w:rPr>
        <w:t>12</w:t>
      </w:r>
      <w:r w:rsidRPr="00540D8F">
        <w:rPr>
          <w:sz w:val="24"/>
          <w:szCs w:val="24"/>
        </w:rPr>
        <w:t>.  The equations for the transmission and reflection coefficients are:</w:t>
      </w:r>
    </w:p>
    <w:p w14:paraId="14055740" w14:textId="77777777" w:rsidR="00540D8F" w:rsidRPr="00540D8F" w:rsidRDefault="00540D8F" w:rsidP="00540D8F">
      <w:pPr>
        <w:pStyle w:val="NoSpacing"/>
        <w:rPr>
          <w:sz w:val="24"/>
          <w:szCs w:val="24"/>
        </w:rPr>
      </w:pPr>
    </w:p>
    <w:p w14:paraId="2BF0F4F0" w14:textId="77777777" w:rsidR="00540D8F" w:rsidRPr="00540D8F" w:rsidRDefault="00540D8F" w:rsidP="00540D8F">
      <w:pPr>
        <w:pStyle w:val="NoSpacing"/>
        <w:rPr>
          <w:sz w:val="24"/>
          <w:szCs w:val="24"/>
        </w:rPr>
      </w:pPr>
      <w:r w:rsidRPr="00540D8F">
        <w:rPr>
          <w:sz w:val="24"/>
          <w:szCs w:val="24"/>
        </w:rPr>
        <w:object w:dxaOrig="4580" w:dyaOrig="1480" w14:anchorId="32E45090">
          <v:shape id="_x0000_i1035" type="#_x0000_t75" style="width:228pt;height:1in" o:ole="">
            <v:imagedata r:id="rId27" o:title=""/>
          </v:shape>
          <o:OLEObject Type="Embed" ProgID="Equation.DSMT4" ShapeID="_x0000_i1035" DrawAspect="Content" ObjectID="_1627816815" r:id="rId28"/>
        </w:object>
      </w:r>
    </w:p>
    <w:p w14:paraId="55F167FD" w14:textId="77777777" w:rsidR="00540D8F" w:rsidRPr="00540D8F" w:rsidRDefault="00540D8F" w:rsidP="00540D8F">
      <w:pPr>
        <w:pStyle w:val="NoSpacing"/>
        <w:rPr>
          <w:sz w:val="24"/>
          <w:szCs w:val="24"/>
        </w:rPr>
      </w:pPr>
    </w:p>
    <w:p w14:paraId="292F35B8" w14:textId="77777777" w:rsidR="00540D8F" w:rsidRPr="00540D8F" w:rsidRDefault="00540D8F" w:rsidP="00540D8F">
      <w:pPr>
        <w:pStyle w:val="NoSpacing"/>
        <w:rPr>
          <w:sz w:val="24"/>
          <w:szCs w:val="24"/>
        </w:rPr>
      </w:pPr>
      <w:r w:rsidRPr="00540D8F">
        <w:rPr>
          <w:sz w:val="24"/>
          <w:szCs w:val="24"/>
        </w:rPr>
        <w:t>and,</w:t>
      </w:r>
    </w:p>
    <w:p w14:paraId="132CA166" w14:textId="77777777" w:rsidR="00540D8F" w:rsidRPr="00540D8F" w:rsidRDefault="00540D8F" w:rsidP="00540D8F">
      <w:pPr>
        <w:pStyle w:val="NoSpacing"/>
        <w:rPr>
          <w:sz w:val="24"/>
          <w:szCs w:val="24"/>
        </w:rPr>
      </w:pPr>
    </w:p>
    <w:p w14:paraId="32387975" w14:textId="77777777" w:rsidR="00540D8F" w:rsidRPr="00540D8F" w:rsidRDefault="00540D8F" w:rsidP="00540D8F">
      <w:pPr>
        <w:pStyle w:val="NoSpacing"/>
        <w:rPr>
          <w:sz w:val="24"/>
          <w:szCs w:val="24"/>
        </w:rPr>
      </w:pPr>
      <w:r w:rsidRPr="00540D8F">
        <w:rPr>
          <w:sz w:val="24"/>
          <w:szCs w:val="24"/>
        </w:rPr>
        <w:object w:dxaOrig="3400" w:dyaOrig="1480" w14:anchorId="7BF37468">
          <v:shape id="_x0000_i1036" type="#_x0000_t75" style="width:168pt;height:1in" o:ole="">
            <v:imagedata r:id="rId29" o:title=""/>
          </v:shape>
          <o:OLEObject Type="Embed" ProgID="Equation.DSMT4" ShapeID="_x0000_i1036" DrawAspect="Content" ObjectID="_1627816816" r:id="rId30"/>
        </w:object>
      </w:r>
    </w:p>
    <w:p w14:paraId="3B984835" w14:textId="77777777" w:rsidR="00540D8F" w:rsidRPr="00540D8F" w:rsidRDefault="00540D8F" w:rsidP="00540D8F">
      <w:pPr>
        <w:pStyle w:val="NoSpacing"/>
        <w:rPr>
          <w:sz w:val="24"/>
          <w:szCs w:val="24"/>
        </w:rPr>
      </w:pPr>
    </w:p>
    <w:p w14:paraId="5C16F6C3" w14:textId="77777777" w:rsidR="00540D8F" w:rsidRPr="00540D8F" w:rsidRDefault="00540D8F" w:rsidP="00540D8F">
      <w:pPr>
        <w:pStyle w:val="NoSpacing"/>
        <w:rPr>
          <w:sz w:val="24"/>
          <w:szCs w:val="24"/>
        </w:rPr>
      </w:pPr>
      <w:r w:rsidRPr="00540D8F">
        <w:rPr>
          <w:sz w:val="24"/>
          <w:szCs w:val="24"/>
        </w:rPr>
        <w:t xml:space="preserve">With these equations, the stochastic evolution of any function F(t,rʹ) may be computed via straightforward differentiation.  Before taking the </w:t>
      </w:r>
      <w:r w:rsidRPr="00540D8F">
        <w:rPr>
          <w:i/>
          <w:sz w:val="24"/>
          <w:szCs w:val="24"/>
        </w:rPr>
        <w:t>average</w:t>
      </w:r>
      <w:r w:rsidRPr="00540D8F">
        <w:rPr>
          <w:sz w:val="24"/>
          <w:szCs w:val="24"/>
        </w:rPr>
        <w:t>, however, there are two caveats.  First, one has to be careful to recast dF/dz into Ito form (see Appendix B) so as to circumvent the correlations between the white noise term and its multiplicand.  Secondly, one will want to identify and eliminate the rapidly fluctuating ‘fast’ terms in dF/dz that average to zero.  These can be identified by going to the ‘interaction picture’ of the above evolution equations:</w:t>
      </w:r>
    </w:p>
    <w:p w14:paraId="78058B0D" w14:textId="77777777" w:rsidR="00540D8F" w:rsidRPr="00540D8F" w:rsidRDefault="00540D8F" w:rsidP="00540D8F">
      <w:pPr>
        <w:pStyle w:val="NoSpacing"/>
        <w:rPr>
          <w:sz w:val="24"/>
          <w:szCs w:val="24"/>
        </w:rPr>
      </w:pPr>
    </w:p>
    <w:p w14:paraId="07B4675D" w14:textId="77777777" w:rsidR="00540D8F" w:rsidRPr="00540D8F" w:rsidRDefault="00540D8F" w:rsidP="00540D8F">
      <w:pPr>
        <w:pStyle w:val="NoSpacing"/>
        <w:rPr>
          <w:sz w:val="24"/>
          <w:szCs w:val="24"/>
        </w:rPr>
      </w:pPr>
      <w:r w:rsidRPr="00540D8F">
        <w:rPr>
          <w:sz w:val="24"/>
          <w:szCs w:val="24"/>
        </w:rPr>
        <w:object w:dxaOrig="1500" w:dyaOrig="760" w14:anchorId="45C5C0A7">
          <v:shape id="_x0000_i1037" type="#_x0000_t75" style="width:90pt;height:42pt" o:ole="">
            <v:imagedata r:id="rId31" o:title=""/>
          </v:shape>
          <o:OLEObject Type="Embed" ProgID="Equation.DSMT4" ShapeID="_x0000_i1037" DrawAspect="Content" ObjectID="_1627816817" r:id="rId32"/>
        </w:object>
      </w:r>
    </w:p>
    <w:p w14:paraId="2EEE1528" w14:textId="77777777" w:rsidR="00540D8F" w:rsidRPr="00540D8F" w:rsidRDefault="00540D8F" w:rsidP="00540D8F">
      <w:pPr>
        <w:pStyle w:val="NoSpacing"/>
        <w:rPr>
          <w:sz w:val="24"/>
          <w:szCs w:val="24"/>
        </w:rPr>
      </w:pPr>
    </w:p>
    <w:p w14:paraId="7EAE661C" w14:textId="77777777" w:rsidR="00540D8F" w:rsidRPr="00540D8F" w:rsidRDefault="00540D8F" w:rsidP="00540D8F">
      <w:pPr>
        <w:pStyle w:val="NoSpacing"/>
        <w:rPr>
          <w:sz w:val="24"/>
          <w:szCs w:val="24"/>
        </w:rPr>
      </w:pPr>
      <w:r w:rsidRPr="00540D8F">
        <w:rPr>
          <w:sz w:val="24"/>
          <w:szCs w:val="24"/>
        </w:rPr>
        <w:t>Substitution of these expressions into dF/dz will reveal the terms which average to zero [this is analogous to the step that gives rise to the C</w:t>
      </w:r>
      <w:r w:rsidRPr="00540D8F">
        <w:rPr>
          <w:sz w:val="24"/>
          <w:szCs w:val="24"/>
          <w:vertAlign w:val="subscript"/>
        </w:rPr>
        <w:t>ab,cd</w:t>
      </w:r>
      <w:r w:rsidRPr="00540D8F">
        <w:rPr>
          <w:sz w:val="24"/>
          <w:szCs w:val="24"/>
        </w:rPr>
        <w:t xml:space="preserve"> term in the Appendix model].  Once this is done, one obtains results similar to Mello’s for &lt;t&gt;, and &lt;rʹ&gt;.  As before, it is of more interest to obtain information about the transmission/reflection probabilities &lt;|t</w:t>
      </w:r>
      <w:r w:rsidRPr="00540D8F">
        <w:rPr>
          <w:sz w:val="24"/>
          <w:szCs w:val="24"/>
          <w:vertAlign w:val="subscript"/>
        </w:rPr>
        <w:t>ab</w:t>
      </w:r>
      <w:r w:rsidRPr="00540D8F">
        <w:rPr>
          <w:sz w:val="24"/>
          <w:szCs w:val="24"/>
        </w:rPr>
        <w:t>|</w:t>
      </w:r>
      <w:r w:rsidRPr="00540D8F">
        <w:rPr>
          <w:sz w:val="24"/>
          <w:szCs w:val="24"/>
          <w:vertAlign w:val="superscript"/>
        </w:rPr>
        <w:t>2</w:t>
      </w:r>
      <w:r w:rsidRPr="00540D8F">
        <w:rPr>
          <w:sz w:val="24"/>
          <w:szCs w:val="24"/>
        </w:rPr>
        <w:t>&gt;, &lt;|rʹ</w:t>
      </w:r>
      <w:r w:rsidRPr="00540D8F">
        <w:rPr>
          <w:sz w:val="24"/>
          <w:szCs w:val="24"/>
          <w:vertAlign w:val="subscript"/>
        </w:rPr>
        <w:t>ab</w:t>
      </w:r>
      <w:r w:rsidRPr="00540D8F">
        <w:rPr>
          <w:sz w:val="24"/>
          <w:szCs w:val="24"/>
        </w:rPr>
        <w:t>|</w:t>
      </w:r>
      <w:r w:rsidRPr="00540D8F">
        <w:rPr>
          <w:sz w:val="24"/>
          <w:szCs w:val="24"/>
          <w:vertAlign w:val="superscript"/>
        </w:rPr>
        <w:t>2</w:t>
      </w:r>
      <w:r w:rsidRPr="00540D8F">
        <w:rPr>
          <w:sz w:val="24"/>
          <w:szCs w:val="24"/>
        </w:rPr>
        <w:t xml:space="preserve">&gt; , but also as before, the equations for these quantities, inevitably involve higher moments, and so cannot be closed.  A simplification of the equations is afforded if one goes to the Q1D limit and </w:t>
      </w:r>
      <w:r w:rsidRPr="00540D8F">
        <w:rPr>
          <w:sz w:val="24"/>
          <w:szCs w:val="24"/>
        </w:rPr>
        <w:lastRenderedPageBreak/>
        <w:t>assumes that all transmission probabilities are of order 1/N, albeit with an intensity that is certainly sample length dependent.  Making this assumption, along with occasional use of the mean field approximation, he is able to self-consistently solve for these quantities.  In the asymptotic limit z → ∞, he finds:</w:t>
      </w:r>
    </w:p>
    <w:p w14:paraId="0390446D" w14:textId="77777777" w:rsidR="00540D8F" w:rsidRPr="00540D8F" w:rsidRDefault="00540D8F" w:rsidP="00540D8F">
      <w:pPr>
        <w:pStyle w:val="NoSpacing"/>
        <w:rPr>
          <w:sz w:val="24"/>
          <w:szCs w:val="24"/>
        </w:rPr>
      </w:pPr>
    </w:p>
    <w:p w14:paraId="509DADA3" w14:textId="77777777" w:rsidR="00540D8F" w:rsidRPr="00540D8F" w:rsidRDefault="00540D8F" w:rsidP="00540D8F">
      <w:pPr>
        <w:pStyle w:val="NoSpacing"/>
        <w:rPr>
          <w:sz w:val="24"/>
          <w:szCs w:val="24"/>
        </w:rPr>
      </w:pPr>
      <w:r w:rsidRPr="00540D8F">
        <w:rPr>
          <w:sz w:val="24"/>
          <w:szCs w:val="24"/>
        </w:rPr>
        <w:object w:dxaOrig="4080" w:dyaOrig="1400" w14:anchorId="4E7C9EB5">
          <v:shape id="_x0000_i1038" type="#_x0000_t75" style="width:186pt;height:66pt" o:ole="" fillcolor="#ffc">
            <v:imagedata r:id="rId33" o:title=""/>
          </v:shape>
          <o:OLEObject Type="Embed" ProgID="Equation.DSMT4" ShapeID="_x0000_i1038" DrawAspect="Content" ObjectID="_1627816818" r:id="rId34"/>
        </w:object>
      </w:r>
      <w:r w:rsidRPr="00540D8F">
        <w:rPr>
          <w:sz w:val="24"/>
          <w:szCs w:val="24"/>
        </w:rPr>
        <w:tab/>
      </w:r>
    </w:p>
    <w:p w14:paraId="4C1B2E37" w14:textId="77777777" w:rsidR="00540D8F" w:rsidRPr="00540D8F" w:rsidRDefault="00540D8F" w:rsidP="00540D8F">
      <w:pPr>
        <w:pStyle w:val="NoSpacing"/>
        <w:rPr>
          <w:sz w:val="24"/>
          <w:szCs w:val="24"/>
        </w:rPr>
      </w:pPr>
    </w:p>
    <w:p w14:paraId="49C8D251" w14:textId="77777777" w:rsidR="00540D8F" w:rsidRPr="00540D8F" w:rsidRDefault="00540D8F" w:rsidP="00540D8F">
      <w:pPr>
        <w:pStyle w:val="NoSpacing"/>
        <w:rPr>
          <w:sz w:val="24"/>
          <w:szCs w:val="24"/>
        </w:rPr>
      </w:pPr>
      <w:r w:rsidRPr="00540D8F">
        <w:rPr>
          <w:sz w:val="24"/>
          <w:szCs w:val="24"/>
        </w:rPr>
        <w:t>where ρ</w:t>
      </w:r>
      <w:r w:rsidRPr="00540D8F">
        <w:rPr>
          <w:sz w:val="24"/>
          <w:szCs w:val="24"/>
          <w:vertAlign w:val="subscript"/>
        </w:rPr>
        <w:t>L</w:t>
      </w:r>
      <w:r w:rsidRPr="00540D8F">
        <w:rPr>
          <w:sz w:val="24"/>
          <w:szCs w:val="24"/>
        </w:rPr>
        <w:t>(μ) is a function defined in the text.  He uses this decidedly non-isotropic result to obtain Ohm’s law, including the skin depth correction.  To obtain the general statistics of the conductance, he looks to examine the evolution of the probability distribution of the N independent generalized traces τ</w:t>
      </w:r>
      <w:r w:rsidRPr="00540D8F">
        <w:rPr>
          <w:sz w:val="24"/>
          <w:szCs w:val="24"/>
          <w:vertAlign w:val="subscript"/>
        </w:rPr>
        <w:t>k</w:t>
      </w:r>
      <w:r w:rsidRPr="00540D8F">
        <w:rPr>
          <w:sz w:val="24"/>
          <w:szCs w:val="24"/>
        </w:rPr>
        <w:t xml:space="preserve"> = Tr(T</w:t>
      </w:r>
      <w:r w:rsidRPr="00540D8F">
        <w:rPr>
          <w:sz w:val="24"/>
          <w:szCs w:val="24"/>
          <w:vertAlign w:val="superscript"/>
        </w:rPr>
        <w:t>k</w:t>
      </w:r>
      <w:r w:rsidRPr="00540D8F">
        <w:rPr>
          <w:sz w:val="24"/>
          <w:szCs w:val="24"/>
        </w:rPr>
        <w:t>), where T = tt</w:t>
      </w:r>
      <w:r w:rsidRPr="00540D8F">
        <w:rPr>
          <w:sz w:val="24"/>
          <w:szCs w:val="24"/>
          <w:vertAlign w:val="superscript"/>
        </w:rPr>
        <w:t>†</w:t>
      </w:r>
      <w:r w:rsidRPr="00540D8F">
        <w:rPr>
          <w:sz w:val="24"/>
          <w:szCs w:val="24"/>
        </w:rPr>
        <w:t>.  Unlike what happened for ρ</w:t>
      </w:r>
      <w:r w:rsidRPr="00540D8F">
        <w:rPr>
          <w:sz w:val="24"/>
          <w:szCs w:val="24"/>
          <w:vertAlign w:val="subscript"/>
        </w:rPr>
        <w:t>k</w:t>
      </w:r>
      <w:r w:rsidRPr="00540D8F">
        <w:rPr>
          <w:sz w:val="24"/>
          <w:szCs w:val="24"/>
        </w:rPr>
        <w:t xml:space="preserve"> = Tr(λ</w:t>
      </w:r>
      <w:r w:rsidRPr="00540D8F">
        <w:rPr>
          <w:sz w:val="24"/>
          <w:szCs w:val="24"/>
          <w:vertAlign w:val="superscript"/>
        </w:rPr>
        <w:t>k</w:t>
      </w:r>
      <w:r w:rsidRPr="00540D8F">
        <w:rPr>
          <w:sz w:val="24"/>
          <w:szCs w:val="24"/>
        </w:rPr>
        <w:t xml:space="preserve">) in Mello’s model, the stochastic evolution equations for these traces do not readily reduce to functions merely of the same set of traces.  So to circumvent this problem he considers the evolution of the </w:t>
      </w:r>
      <w:r w:rsidRPr="00540D8F">
        <w:rPr>
          <w:i/>
          <w:sz w:val="24"/>
          <w:szCs w:val="24"/>
        </w:rPr>
        <w:t>average</w:t>
      </w:r>
      <w:r w:rsidRPr="00540D8F">
        <w:rPr>
          <w:sz w:val="24"/>
          <w:szCs w:val="24"/>
        </w:rPr>
        <w:t xml:space="preserve"> of </w:t>
      </w:r>
      <w:r w:rsidRPr="00540D8F">
        <w:rPr>
          <w:i/>
          <w:sz w:val="24"/>
          <w:szCs w:val="24"/>
        </w:rPr>
        <w:t>all</w:t>
      </w:r>
      <w:r w:rsidRPr="00540D8F">
        <w:rPr>
          <w:sz w:val="24"/>
          <w:szCs w:val="24"/>
        </w:rPr>
        <w:t xml:space="preserve"> moments of these traces: d&lt;τ</w:t>
      </w:r>
      <w:r w:rsidRPr="00540D8F">
        <w:rPr>
          <w:sz w:val="24"/>
          <w:szCs w:val="24"/>
          <w:vertAlign w:val="subscript"/>
        </w:rPr>
        <w:t>1</w:t>
      </w:r>
      <w:r w:rsidRPr="00540D8F">
        <w:rPr>
          <w:sz w:val="24"/>
          <w:szCs w:val="24"/>
          <w:vertAlign w:val="superscript"/>
        </w:rPr>
        <w:t>s1</w:t>
      </w:r>
      <w:r w:rsidRPr="00540D8F">
        <w:rPr>
          <w:sz w:val="24"/>
          <w:szCs w:val="24"/>
        </w:rPr>
        <w:t>τ</w:t>
      </w:r>
      <w:r w:rsidRPr="00540D8F">
        <w:rPr>
          <w:sz w:val="24"/>
          <w:szCs w:val="24"/>
          <w:vertAlign w:val="subscript"/>
        </w:rPr>
        <w:t>2</w:t>
      </w:r>
      <w:r w:rsidRPr="00540D8F">
        <w:rPr>
          <w:sz w:val="24"/>
          <w:szCs w:val="24"/>
          <w:vertAlign w:val="superscript"/>
        </w:rPr>
        <w:t>s2</w:t>
      </w:r>
      <w:r w:rsidRPr="00540D8F">
        <w:rPr>
          <w:sz w:val="24"/>
          <w:szCs w:val="24"/>
        </w:rPr>
        <w:t>…τ</w:t>
      </w:r>
      <w:r w:rsidRPr="00540D8F">
        <w:rPr>
          <w:sz w:val="24"/>
          <w:szCs w:val="24"/>
          <w:vertAlign w:val="subscript"/>
        </w:rPr>
        <w:t>N</w:t>
      </w:r>
      <w:r w:rsidRPr="00540D8F">
        <w:rPr>
          <w:sz w:val="24"/>
          <w:szCs w:val="24"/>
          <w:vertAlign w:val="superscript"/>
        </w:rPr>
        <w:t>sN</w:t>
      </w:r>
      <w:r w:rsidRPr="00540D8F">
        <w:rPr>
          <w:sz w:val="24"/>
          <w:szCs w:val="24"/>
        </w:rPr>
        <w:t>&gt;/dz, where s</w:t>
      </w:r>
      <w:r w:rsidRPr="00540D8F">
        <w:rPr>
          <w:sz w:val="24"/>
          <w:szCs w:val="24"/>
          <w:vertAlign w:val="subscript"/>
        </w:rPr>
        <w:t>j</w:t>
      </w:r>
      <w:r w:rsidRPr="00540D8F">
        <w:rPr>
          <w:sz w:val="24"/>
          <w:szCs w:val="24"/>
        </w:rPr>
        <w:t xml:space="preserve"> can range from 0 to ∞.  Under the same prior assumptions, that transmission amplitudes are ~ 1/N, this </w:t>
      </w:r>
      <w:r w:rsidRPr="00540D8F">
        <w:rPr>
          <w:i/>
          <w:sz w:val="24"/>
          <w:szCs w:val="24"/>
        </w:rPr>
        <w:t>does</w:t>
      </w:r>
      <w:r w:rsidRPr="00540D8F">
        <w:rPr>
          <w:sz w:val="24"/>
          <w:szCs w:val="24"/>
        </w:rPr>
        <w:t xml:space="preserve"> work out to particular linear combinations of elements of this same set of moments.  Using these equations he is able to reproduce many standard results.  In the metallic regime he determines the  transmission eigenvalue density ρ(T), weak localization corrections to the conductivity and universal conductance fluctuations, as well as the Gaussian nature of the probability distribution P</w:t>
      </w:r>
      <w:r w:rsidRPr="00540D8F">
        <w:rPr>
          <w:sz w:val="24"/>
          <w:szCs w:val="24"/>
          <w:vertAlign w:val="subscript"/>
        </w:rPr>
        <w:t>z</w:t>
      </w:r>
      <w:r w:rsidRPr="00540D8F">
        <w:rPr>
          <w:sz w:val="24"/>
          <w:szCs w:val="24"/>
        </w:rPr>
        <w:t>(g).  In the insulating regime, assuming eigenvalues are well separated, he is able to write down an approximate evolution equation for P</w:t>
      </w:r>
      <w:r w:rsidRPr="00540D8F">
        <w:rPr>
          <w:sz w:val="24"/>
          <w:szCs w:val="24"/>
          <w:vertAlign w:val="subscript"/>
        </w:rPr>
        <w:t>z</w:t>
      </w:r>
      <w:r w:rsidRPr="00540D8F">
        <w:rPr>
          <w:sz w:val="24"/>
          <w:szCs w:val="24"/>
        </w:rPr>
        <w:t>(g) and show the solution is indeed log-normal.  Finally, as discussed in the Appendix, if one knows the evolution of the average of all moments of a set of quantities, then one may write down a Fokker-Plank equation for their probability distribution.  In this manner he writes down an evolution equation for P</w:t>
      </w:r>
      <w:r w:rsidRPr="00540D8F">
        <w:rPr>
          <w:sz w:val="24"/>
          <w:szCs w:val="24"/>
          <w:vertAlign w:val="subscript"/>
        </w:rPr>
        <w:t>z</w:t>
      </w:r>
      <w:r w:rsidRPr="00540D8F">
        <w:rPr>
          <w:sz w:val="24"/>
          <w:szCs w:val="24"/>
        </w:rPr>
        <w:t>(τ</w:t>
      </w:r>
      <w:r w:rsidRPr="00540D8F">
        <w:rPr>
          <w:sz w:val="24"/>
          <w:szCs w:val="24"/>
          <w:vertAlign w:val="subscript"/>
        </w:rPr>
        <w:t>1</w:t>
      </w:r>
      <w:r w:rsidRPr="00540D8F">
        <w:rPr>
          <w:sz w:val="24"/>
          <w:szCs w:val="24"/>
        </w:rPr>
        <w:t>,τ</w:t>
      </w:r>
      <w:r w:rsidRPr="00540D8F">
        <w:rPr>
          <w:sz w:val="24"/>
          <w:szCs w:val="24"/>
          <w:vertAlign w:val="subscript"/>
        </w:rPr>
        <w:t>2</w:t>
      </w:r>
      <w:r w:rsidRPr="00540D8F">
        <w:rPr>
          <w:sz w:val="24"/>
          <w:szCs w:val="24"/>
        </w:rPr>
        <w:t>,…,τ</w:t>
      </w:r>
      <w:r w:rsidRPr="00540D8F">
        <w:rPr>
          <w:sz w:val="24"/>
          <w:szCs w:val="24"/>
          <w:vertAlign w:val="subscript"/>
        </w:rPr>
        <w:t>N</w:t>
      </w:r>
      <w:r w:rsidRPr="00540D8F">
        <w:rPr>
          <w:sz w:val="24"/>
          <w:szCs w:val="24"/>
        </w:rPr>
        <w:t>) (like was the case for Mello’s analogous equation, this will invoke traces τ</w:t>
      </w:r>
      <w:r w:rsidRPr="00540D8F">
        <w:rPr>
          <w:sz w:val="24"/>
          <w:szCs w:val="24"/>
          <w:vertAlign w:val="subscript"/>
        </w:rPr>
        <w:t>k&gt;N</w:t>
      </w:r>
      <w:r w:rsidRPr="00540D8F">
        <w:rPr>
          <w:sz w:val="24"/>
          <w:szCs w:val="24"/>
        </w:rPr>
        <w:t>, which can in principle rewritten in terms of some combination of τ</w:t>
      </w:r>
      <w:r w:rsidRPr="00540D8F">
        <w:rPr>
          <w:sz w:val="24"/>
          <w:szCs w:val="24"/>
          <w:vertAlign w:val="subscript"/>
        </w:rPr>
        <w:t>k&lt;N</w:t>
      </w:r>
      <w:r w:rsidRPr="00540D8F">
        <w:rPr>
          <w:sz w:val="24"/>
          <w:szCs w:val="24"/>
        </w:rPr>
        <w:t xml:space="preserve">).  </w:t>
      </w:r>
    </w:p>
    <w:p w14:paraId="38393B34" w14:textId="77777777" w:rsidR="00540D8F" w:rsidRPr="00540D8F" w:rsidRDefault="00540D8F" w:rsidP="00540D8F">
      <w:pPr>
        <w:pStyle w:val="NoSpacing"/>
        <w:rPr>
          <w:sz w:val="24"/>
          <w:szCs w:val="24"/>
        </w:rPr>
      </w:pPr>
    </w:p>
    <w:p w14:paraId="06A10233" w14:textId="77777777" w:rsidR="00540D8F" w:rsidRPr="00540D8F" w:rsidRDefault="00540D8F" w:rsidP="00540D8F">
      <w:pPr>
        <w:pStyle w:val="NoSpacing"/>
        <w:rPr>
          <w:sz w:val="24"/>
          <w:szCs w:val="24"/>
        </w:rPr>
      </w:pPr>
      <w:r w:rsidRPr="00540D8F">
        <w:rPr>
          <w:sz w:val="24"/>
          <w:szCs w:val="24"/>
        </w:rPr>
        <w:object w:dxaOrig="8020" w:dyaOrig="1480" w14:anchorId="1DE17001">
          <v:shape id="_x0000_i1039" type="#_x0000_t75" style="width:438pt;height:78pt" o:ole="">
            <v:imagedata r:id="rId35" o:title=""/>
          </v:shape>
          <o:OLEObject Type="Embed" ProgID="Equation.DSMT4" ShapeID="_x0000_i1039" DrawAspect="Content" ObjectID="_1627816819" r:id="rId36"/>
        </w:object>
      </w:r>
    </w:p>
    <w:p w14:paraId="69DE1CDE" w14:textId="77777777" w:rsidR="00540D8F" w:rsidRPr="00540D8F" w:rsidRDefault="00540D8F" w:rsidP="00540D8F">
      <w:pPr>
        <w:pStyle w:val="NoSpacing"/>
        <w:rPr>
          <w:sz w:val="24"/>
          <w:szCs w:val="24"/>
        </w:rPr>
      </w:pPr>
    </w:p>
    <w:p w14:paraId="09064F49" w14:textId="77777777" w:rsidR="00540D8F" w:rsidRPr="00540D8F" w:rsidRDefault="00540D8F" w:rsidP="00540D8F">
      <w:pPr>
        <w:pStyle w:val="NoSpacing"/>
        <w:rPr>
          <w:sz w:val="24"/>
          <w:szCs w:val="24"/>
        </w:rPr>
      </w:pPr>
      <w:r w:rsidRPr="00540D8F">
        <w:rPr>
          <w:sz w:val="24"/>
          <w:szCs w:val="24"/>
        </w:rPr>
        <w:t xml:space="preserve">[ξ = 2Nℓ/3], and shows that it is equivalent to the DMPK equation, putting the latter on a firmly microscopic basis.  It would be worthwhile to see if the method could </w:t>
      </w:r>
      <w:commentRangeStart w:id="2"/>
      <w:r w:rsidRPr="00540D8F">
        <w:rPr>
          <w:sz w:val="24"/>
          <w:szCs w:val="24"/>
        </w:rPr>
        <w:t xml:space="preserve">reproduce </w:t>
      </w:r>
      <w:commentRangeEnd w:id="2"/>
      <w:r w:rsidRPr="00540D8F">
        <w:rPr>
          <w:sz w:val="24"/>
          <w:szCs w:val="24"/>
        </w:rPr>
        <w:commentReference w:id="2"/>
      </w:r>
      <w:r w:rsidRPr="00540D8F">
        <w:rPr>
          <w:sz w:val="24"/>
          <w:szCs w:val="24"/>
        </w:rPr>
        <w:t xml:space="preserve">the full localization behavior of a conductor.  </w:t>
      </w:r>
    </w:p>
    <w:p w14:paraId="10C9ED96" w14:textId="2DAC5FB2" w:rsidR="00540D8F" w:rsidRDefault="00540D8F" w:rsidP="00540D8F">
      <w:pPr>
        <w:pStyle w:val="NoSpacing"/>
        <w:rPr>
          <w:sz w:val="24"/>
          <w:szCs w:val="24"/>
        </w:rPr>
      </w:pPr>
      <w:bookmarkStart w:id="3" w:name="_GoBack"/>
      <w:bookmarkEnd w:id="3"/>
    </w:p>
    <w:p w14:paraId="48DFFF16" w14:textId="5449DD83" w:rsidR="00540D8F" w:rsidRDefault="00540D8F" w:rsidP="00540D8F">
      <w:pPr>
        <w:pStyle w:val="NoSpacing"/>
        <w:rPr>
          <w:sz w:val="24"/>
          <w:szCs w:val="24"/>
        </w:rPr>
      </w:pPr>
    </w:p>
    <w:p w14:paraId="30C3C15C" w14:textId="60DDA6EF" w:rsidR="00540D8F" w:rsidRDefault="00540D8F" w:rsidP="00540D8F">
      <w:pPr>
        <w:pStyle w:val="NoSpacing"/>
        <w:rPr>
          <w:sz w:val="24"/>
          <w:szCs w:val="24"/>
        </w:rPr>
      </w:pPr>
    </w:p>
    <w:p w14:paraId="325A07BA" w14:textId="77777777" w:rsidR="00540D8F" w:rsidRPr="00540D8F" w:rsidRDefault="00540D8F" w:rsidP="00540D8F">
      <w:pPr>
        <w:pStyle w:val="NoSpacing"/>
        <w:rPr>
          <w:sz w:val="24"/>
          <w:szCs w:val="24"/>
        </w:rPr>
      </w:pPr>
    </w:p>
    <w:sectPr w:rsidR="00540D8F" w:rsidRPr="00540D8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ndrew Douglas" w:date="2018-10-26T17:23:00Z" w:initials="AD">
    <w:p w14:paraId="521C66CE" w14:textId="77777777" w:rsidR="00540D8F" w:rsidRDefault="00540D8F" w:rsidP="00540D8F">
      <w:pPr>
        <w:pStyle w:val="CommentText"/>
      </w:pPr>
      <w:r>
        <w:rPr>
          <w:rStyle w:val="CommentReference"/>
        </w:rPr>
        <w:annotationRef/>
      </w:r>
      <w:r>
        <w:t>In his paper, he seems to allege that the equations are all Ito – he says they have a causal character.  Hmmmm…..</w:t>
      </w:r>
    </w:p>
  </w:comment>
  <w:comment w:id="2" w:author="Andrew Douglas" w:date="2018-10-26T17:01:00Z" w:initials="AD">
    <w:p w14:paraId="26A0CB06" w14:textId="77777777" w:rsidR="00540D8F" w:rsidRDefault="00540D8F" w:rsidP="00540D8F">
      <w:pPr>
        <w:pStyle w:val="CommentText"/>
      </w:pPr>
      <w:r>
        <w:rPr>
          <w:rStyle w:val="CommentReference"/>
        </w:rPr>
        <w:annotationRef/>
      </w:r>
      <w:r>
        <w:t>what model of potential do they use in the nonlinear sigma thing?  Would using a white noise model for the potential there (or Born approximation) fail to reproduce the phase transition?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21C66CE" w15:done="0"/>
  <w15:commentEx w15:paraId="26A0CB0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1C66CE" w16cid:durableId="1F7DCC07"/>
  <w16cid:commentId w16cid:paraId="26A0CB06" w16cid:durableId="1F7DC6D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drew Douglas">
    <w15:presenceInfo w15:providerId="Windows Live" w15:userId="f00e315d48384b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22A"/>
    <w:rsid w:val="00087059"/>
    <w:rsid w:val="00133166"/>
    <w:rsid w:val="003B2AF0"/>
    <w:rsid w:val="004349E5"/>
    <w:rsid w:val="00434A71"/>
    <w:rsid w:val="004B39D7"/>
    <w:rsid w:val="00540D8F"/>
    <w:rsid w:val="00581959"/>
    <w:rsid w:val="007452CC"/>
    <w:rsid w:val="007F722A"/>
    <w:rsid w:val="00874286"/>
    <w:rsid w:val="008F4027"/>
    <w:rsid w:val="009D5095"/>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E928D"/>
  <w15:chartTrackingRefBased/>
  <w15:docId w15:val="{6D1776DA-DFC8-4A44-8C13-B947208B3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40D8F"/>
    <w:pPr>
      <w:spacing w:after="0" w:line="240" w:lineRule="auto"/>
    </w:pPr>
  </w:style>
  <w:style w:type="character" w:styleId="CommentReference">
    <w:name w:val="annotation reference"/>
    <w:basedOn w:val="DefaultParagraphFont"/>
    <w:uiPriority w:val="99"/>
    <w:semiHidden/>
    <w:unhideWhenUsed/>
    <w:rsid w:val="00540D8F"/>
    <w:rPr>
      <w:sz w:val="16"/>
      <w:szCs w:val="16"/>
    </w:rPr>
  </w:style>
  <w:style w:type="paragraph" w:styleId="CommentText">
    <w:name w:val="annotation text"/>
    <w:basedOn w:val="Normal"/>
    <w:link w:val="CommentTextChar"/>
    <w:uiPriority w:val="99"/>
    <w:semiHidden/>
    <w:unhideWhenUsed/>
    <w:rsid w:val="00540D8F"/>
    <w:pPr>
      <w:spacing w:line="240" w:lineRule="auto"/>
    </w:pPr>
    <w:rPr>
      <w:sz w:val="20"/>
      <w:szCs w:val="20"/>
    </w:rPr>
  </w:style>
  <w:style w:type="character" w:customStyle="1" w:styleId="CommentTextChar">
    <w:name w:val="Comment Text Char"/>
    <w:basedOn w:val="DefaultParagraphFont"/>
    <w:link w:val="CommentText"/>
    <w:uiPriority w:val="99"/>
    <w:semiHidden/>
    <w:rsid w:val="00540D8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8.wmf"/><Relationship Id="rId26" Type="http://schemas.microsoft.com/office/2016/09/relationships/commentsIds" Target="commentsIds.xm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oleObject" Target="embeddings/oleObject14.bin"/><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microsoft.com/office/2011/relationships/commentsExtended" Target="commentsExtended.xml"/><Relationship Id="rId33" Type="http://schemas.openxmlformats.org/officeDocument/2006/relationships/image" Target="media/image14.wmf"/><Relationship Id="rId38" Type="http://schemas.microsoft.com/office/2011/relationships/people" Target="people.xml"/><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image" Target="media/image9.wmf"/><Relationship Id="rId29" Type="http://schemas.openxmlformats.org/officeDocument/2006/relationships/image" Target="media/image12.wmf"/><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comments" Target="comments.xml"/><Relationship Id="rId32" Type="http://schemas.openxmlformats.org/officeDocument/2006/relationships/oleObject" Target="embeddings/oleObject13.bin"/><Relationship Id="rId37" Type="http://schemas.openxmlformats.org/officeDocument/2006/relationships/fontTable" Target="fontTable.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image" Target="media/image13.wmf"/><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995</Words>
  <Characters>5673</Characters>
  <Application>Microsoft Office Word</Application>
  <DocSecurity>0</DocSecurity>
  <Lines>47</Lines>
  <Paragraphs>13</Paragraphs>
  <ScaleCrop>false</ScaleCrop>
  <Company/>
  <LinksUpToDate>false</LinksUpToDate>
  <CharactersWithSpaces>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cp:revision>
  <dcterms:created xsi:type="dcterms:W3CDTF">2019-08-20T18:28:00Z</dcterms:created>
  <dcterms:modified xsi:type="dcterms:W3CDTF">2019-08-20T18:29:00Z</dcterms:modified>
</cp:coreProperties>
</file>